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4757" w14:textId="77777777" w:rsidR="006F560A" w:rsidRPr="006003C3" w:rsidRDefault="006F560A" w:rsidP="006003C3">
      <w:pPr>
        <w:pStyle w:val="Corpotes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6CCADD3" w14:textId="77777777" w:rsidR="00297A9D" w:rsidRDefault="00297A9D" w:rsidP="00DB5481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p w14:paraId="6D301627" w14:textId="4FD05067" w:rsidR="00297A9D" w:rsidRPr="00297A9D" w:rsidRDefault="00297A9D" w:rsidP="00DB5481">
      <w:pPr>
        <w:tabs>
          <w:tab w:val="center" w:pos="7938"/>
        </w:tabs>
        <w:spacing w:line="259" w:lineRule="auto"/>
        <w:jc w:val="both"/>
        <w:rPr>
          <w:rFonts w:ascii="Arial" w:hAnsi="Arial" w:cs="Arial"/>
          <w:b/>
          <w:bCs/>
        </w:rPr>
      </w:pPr>
      <w:r w:rsidRPr="00297A9D">
        <w:rPr>
          <w:rFonts w:ascii="Arial" w:hAnsi="Arial" w:cs="Arial"/>
          <w:b/>
          <w:bCs/>
        </w:rPr>
        <w:t xml:space="preserve">Premessa: </w:t>
      </w:r>
    </w:p>
    <w:p w14:paraId="02240187" w14:textId="2CAA7F88" w:rsidR="00297A9D" w:rsidRPr="00297A9D" w:rsidRDefault="00297A9D" w:rsidP="00297A9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 w:rsidRPr="00297A9D">
        <w:rPr>
          <w:rFonts w:ascii="Arial" w:hAnsi="Arial" w:cs="Arial"/>
        </w:rPr>
        <w:t xml:space="preserve">L’agenzia formativa </w:t>
      </w:r>
      <w:r w:rsidRPr="00297A9D">
        <w:rPr>
          <w:rFonts w:ascii="Arial" w:hAnsi="Arial" w:cs="Arial"/>
          <w:b/>
          <w:bCs/>
        </w:rPr>
        <w:t>ISFOR SRL</w:t>
      </w:r>
      <w:r>
        <w:rPr>
          <w:rFonts w:ascii="Arial" w:hAnsi="Arial" w:cs="Arial"/>
          <w:b/>
          <w:bCs/>
        </w:rPr>
        <w:t>,</w:t>
      </w:r>
      <w:r w:rsidRPr="00297A9D">
        <w:rPr>
          <w:rFonts w:ascii="Arial" w:hAnsi="Arial" w:cs="Arial"/>
        </w:rPr>
        <w:t xml:space="preserve"> </w:t>
      </w:r>
      <w:r w:rsidRPr="00297A9D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diretta emanazione di </w:t>
      </w:r>
      <w:proofErr w:type="spellStart"/>
      <w:r w:rsidRPr="00297A9D">
        <w:rPr>
          <w:rFonts w:ascii="Arial" w:hAnsi="Arial" w:cs="Arial"/>
        </w:rPr>
        <w:t>Conf</w:t>
      </w:r>
      <w:r>
        <w:rPr>
          <w:rFonts w:ascii="Arial" w:hAnsi="Arial" w:cs="Arial"/>
        </w:rPr>
        <w:t>lavoro</w:t>
      </w:r>
      <w:proofErr w:type="spellEnd"/>
      <w:r>
        <w:rPr>
          <w:rFonts w:ascii="Arial" w:hAnsi="Arial" w:cs="Arial"/>
        </w:rPr>
        <w:t xml:space="preserve"> PMI, </w:t>
      </w:r>
      <w:r>
        <w:rPr>
          <w:rFonts w:ascii="Arial" w:hAnsi="Arial" w:cs="Arial"/>
        </w:rPr>
        <w:t xml:space="preserve">ha organizzato e </w:t>
      </w:r>
      <w:r w:rsidRPr="00297A9D">
        <w:rPr>
          <w:rFonts w:ascii="Arial" w:hAnsi="Arial" w:cs="Arial"/>
        </w:rPr>
        <w:t>sta programmando i percorsi formativi obbligatori per legge e autorizzati dalla regione Toscana sulla ludopatia che prevede un corso obbligatorio per gestori di sale gioco, centri scommesse, locali pubblici e tabacchi.</w:t>
      </w:r>
    </w:p>
    <w:p w14:paraId="3A5B5483" w14:textId="77777777" w:rsidR="00297A9D" w:rsidRPr="00297A9D" w:rsidRDefault="00297A9D" w:rsidP="00297A9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 w:rsidRPr="00297A9D">
        <w:rPr>
          <w:rFonts w:ascii="Arial" w:hAnsi="Arial" w:cs="Arial"/>
        </w:rPr>
        <w:t>Con la Legge Regione Toscana n. 4 del 23/01/2018 si definisce come obbiettivo del corso la prevenzione e riduzione del gioco patologico; l’attivazione della rete di sostegno e la conoscenza generale della normativa vigente in materia di gioco lecito.</w:t>
      </w:r>
    </w:p>
    <w:p w14:paraId="2BF671EF" w14:textId="5CC5EF78" w:rsidR="00F843FC" w:rsidRDefault="00297A9D" w:rsidP="00297A9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 w:rsidRPr="00297A9D">
        <w:rPr>
          <w:rFonts w:ascii="Arial" w:hAnsi="Arial" w:cs="Arial"/>
        </w:rPr>
        <w:t xml:space="preserve">Il corso indetto dalla Regione Toscana è rivolto ai gestori e collaboratori di sale gioco, centri scommesse, bar, tabacchi e locali pubblici con video giochi già aperti o di prossima apertura. Esercizi e locali con apparecchi con vincita in denaro (AWP): Slot e New Slot, Esercizi e locali con Video </w:t>
      </w:r>
      <w:proofErr w:type="spellStart"/>
      <w:r w:rsidRPr="00297A9D">
        <w:rPr>
          <w:rFonts w:ascii="Arial" w:hAnsi="Arial" w:cs="Arial"/>
        </w:rPr>
        <w:t>Lottery</w:t>
      </w:r>
      <w:proofErr w:type="spellEnd"/>
      <w:r w:rsidRPr="00297A9D">
        <w:rPr>
          <w:rFonts w:ascii="Arial" w:hAnsi="Arial" w:cs="Arial"/>
        </w:rPr>
        <w:t xml:space="preserve"> Terminal (VLT) Esercizi e locali per la raccolta di scommesse, Ticket </w:t>
      </w:r>
      <w:proofErr w:type="spellStart"/>
      <w:r w:rsidRPr="00297A9D">
        <w:rPr>
          <w:rFonts w:ascii="Arial" w:hAnsi="Arial" w:cs="Arial"/>
        </w:rPr>
        <w:t>redemption</w:t>
      </w:r>
      <w:proofErr w:type="spellEnd"/>
      <w:r w:rsidRPr="00297A9D">
        <w:rPr>
          <w:rFonts w:ascii="Arial" w:hAnsi="Arial" w:cs="Arial"/>
        </w:rPr>
        <w:t>, Sale Bingo.</w:t>
      </w:r>
    </w:p>
    <w:p w14:paraId="4E535052" w14:textId="77777777" w:rsidR="00297A9D" w:rsidRDefault="00297A9D" w:rsidP="00297A9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8124"/>
      </w:tblGrid>
      <w:tr w:rsidR="00F843FC" w14:paraId="039AEC47" w14:textId="77777777" w:rsidTr="00F843FC">
        <w:tc>
          <w:tcPr>
            <w:tcW w:w="1696" w:type="dxa"/>
          </w:tcPr>
          <w:p w14:paraId="432C6B7D" w14:textId="38A2D8F6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del corso </w:t>
            </w:r>
          </w:p>
        </w:tc>
        <w:tc>
          <w:tcPr>
            <w:tcW w:w="8124" w:type="dxa"/>
          </w:tcPr>
          <w:p w14:paraId="1A2474A0" w14:textId="5D723004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Formazione obbligatoria per gestore di centri scommesse e di spazi per il gioco con vincita in denaro o per personale in essi operante</w:t>
            </w:r>
          </w:p>
        </w:tc>
      </w:tr>
      <w:tr w:rsidR="00F843FC" w14:paraId="6D3ADA36" w14:textId="77777777" w:rsidTr="00F843FC">
        <w:tc>
          <w:tcPr>
            <w:tcW w:w="1696" w:type="dxa"/>
          </w:tcPr>
          <w:p w14:paraId="0F7D740C" w14:textId="673672CF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Tipologia del corso:</w:t>
            </w:r>
          </w:p>
        </w:tc>
        <w:tc>
          <w:tcPr>
            <w:tcW w:w="8124" w:type="dxa"/>
          </w:tcPr>
          <w:p w14:paraId="5AD9B67E" w14:textId="1DE0A1AC" w:rsidR="00F843FC" w:rsidRPr="00297A9D" w:rsidRDefault="00F843FC" w:rsidP="00297A9D">
            <w:pPr>
              <w:rPr>
                <w:rFonts w:ascii="Arial" w:hAnsi="Arial" w:cs="Arial"/>
                <w:sz w:val="16"/>
              </w:rPr>
            </w:pPr>
            <w:r w:rsidRPr="005F118D">
              <w:rPr>
                <w:rFonts w:ascii="Arial" w:hAnsi="Arial" w:cs="Arial"/>
              </w:rPr>
              <w:t>DOVUTO PER LEGGE – AGGIORNAMENTO</w:t>
            </w:r>
          </w:p>
        </w:tc>
      </w:tr>
      <w:tr w:rsidR="00F843FC" w14:paraId="3F5911CC" w14:textId="77777777" w:rsidTr="00F843FC">
        <w:tc>
          <w:tcPr>
            <w:tcW w:w="1696" w:type="dxa"/>
          </w:tcPr>
          <w:p w14:paraId="5C4E07E3" w14:textId="763A567B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Procedimento:</w:t>
            </w:r>
          </w:p>
        </w:tc>
        <w:tc>
          <w:tcPr>
            <w:tcW w:w="8124" w:type="dxa"/>
          </w:tcPr>
          <w:p w14:paraId="38917598" w14:textId="73EC602F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Edizione territoriale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num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1704/2024</w:t>
            </w:r>
          </w:p>
        </w:tc>
      </w:tr>
      <w:tr w:rsidR="00F843FC" w14:paraId="0E66CA32" w14:textId="77777777" w:rsidTr="00F843FC">
        <w:tc>
          <w:tcPr>
            <w:tcW w:w="1696" w:type="dxa"/>
          </w:tcPr>
          <w:p w14:paraId="3033A1E5" w14:textId="29529264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del corso</w:t>
            </w:r>
          </w:p>
        </w:tc>
        <w:tc>
          <w:tcPr>
            <w:tcW w:w="8124" w:type="dxa"/>
          </w:tcPr>
          <w:p w14:paraId="47D696DF" w14:textId="7A0B8952" w:rsidR="00F843FC" w:rsidRPr="00297A9D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297A9D">
              <w:rPr>
                <w:rFonts w:ascii="Arial" w:hAnsi="Arial" w:cs="Arial"/>
                <w:b/>
                <w:bCs/>
              </w:rPr>
              <w:t>17/07/2024</w:t>
            </w:r>
          </w:p>
        </w:tc>
      </w:tr>
      <w:tr w:rsidR="00F843FC" w14:paraId="2AE80DBC" w14:textId="77777777" w:rsidTr="00F843FC">
        <w:tc>
          <w:tcPr>
            <w:tcW w:w="1696" w:type="dxa"/>
          </w:tcPr>
          <w:p w14:paraId="7B4E0DBA" w14:textId="59B5530F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</w:p>
        </w:tc>
        <w:tc>
          <w:tcPr>
            <w:tcW w:w="8124" w:type="dxa"/>
          </w:tcPr>
          <w:p w14:paraId="0BDA427F" w14:textId="5D1FFBB4" w:rsidR="00F843FC" w:rsidRPr="00F843FC" w:rsidRDefault="00F843FC" w:rsidP="00F84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843FC">
              <w:rPr>
                <w:rFonts w:ascii="Arial" w:hAnsi="Arial" w:cs="Arial"/>
              </w:rPr>
              <w:t>ula didattica di CONFLAVORO PMI Sede provinciale di Pisa in Via G. Del Guerra n.41/43 a Pontedera (PI).</w:t>
            </w:r>
          </w:p>
          <w:p w14:paraId="7C718AD5" w14:textId="77777777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F843FC" w14:paraId="27DD5121" w14:textId="77777777" w:rsidTr="00F843FC">
        <w:tc>
          <w:tcPr>
            <w:tcW w:w="1696" w:type="dxa"/>
          </w:tcPr>
          <w:p w14:paraId="19FFF1CF" w14:textId="631A3A7B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allievi previsti:</w:t>
            </w:r>
          </w:p>
        </w:tc>
        <w:tc>
          <w:tcPr>
            <w:tcW w:w="8124" w:type="dxa"/>
          </w:tcPr>
          <w:p w14:paraId="0AEC5749" w14:textId="4A605F05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843FC" w14:paraId="76287CDA" w14:textId="77777777" w:rsidTr="00F843FC">
        <w:tc>
          <w:tcPr>
            <w:tcW w:w="1696" w:type="dxa"/>
          </w:tcPr>
          <w:p w14:paraId="7D02A981" w14:textId="75ED549C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Durata del corso </w:t>
            </w:r>
          </w:p>
        </w:tc>
        <w:tc>
          <w:tcPr>
            <w:tcW w:w="8124" w:type="dxa"/>
          </w:tcPr>
          <w:p w14:paraId="5264F978" w14:textId="77777777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ore</w:t>
            </w:r>
          </w:p>
          <w:p w14:paraId="6A2DB292" w14:textId="16364F0E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ore (con riconoscimento dei crediti previsti dalla normativa)</w:t>
            </w:r>
          </w:p>
        </w:tc>
      </w:tr>
      <w:tr w:rsidR="00F843FC" w14:paraId="7C314018" w14:textId="77777777" w:rsidTr="00F843FC">
        <w:tc>
          <w:tcPr>
            <w:tcW w:w="1696" w:type="dxa"/>
          </w:tcPr>
          <w:p w14:paraId="7DB5ED92" w14:textId="5D3725D6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 del corso </w:t>
            </w:r>
          </w:p>
        </w:tc>
        <w:tc>
          <w:tcPr>
            <w:tcW w:w="8124" w:type="dxa"/>
          </w:tcPr>
          <w:p w14:paraId="3BF1D2CF" w14:textId="77777777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 170,00 (corso completo)</w:t>
            </w:r>
          </w:p>
          <w:p w14:paraId="47680269" w14:textId="6C03A693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   50,00 (corso di 2 ore)</w:t>
            </w:r>
          </w:p>
        </w:tc>
      </w:tr>
      <w:tr w:rsidR="00F843FC" w14:paraId="2BE03921" w14:textId="77777777" w:rsidTr="00F843FC">
        <w:tc>
          <w:tcPr>
            <w:tcW w:w="1696" w:type="dxa"/>
          </w:tcPr>
          <w:p w14:paraId="14062BDE" w14:textId="3CFFC2A5" w:rsidR="00F843FC" w:rsidRDefault="00F843FC" w:rsidP="00F843FC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 w:rsidRPr="00A46156">
              <w:rPr>
                <w:rFonts w:ascii="Arial" w:hAnsi="Arial" w:cs="Arial"/>
                <w:b/>
                <w:sz w:val="16"/>
              </w:rPr>
              <w:t>FINALITA’ DELL’AZIONE</w:t>
            </w:r>
          </w:p>
        </w:tc>
        <w:tc>
          <w:tcPr>
            <w:tcW w:w="8124" w:type="dxa"/>
          </w:tcPr>
          <w:p w14:paraId="4BCDA92E" w14:textId="67CA6B6E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 w:rsidRPr="00F843FC">
              <w:rPr>
                <w:rFonts w:ascii="Arial" w:hAnsi="Arial" w:cs="Arial"/>
              </w:rPr>
              <w:t>Si definisce come obbiettivo del corso la prevenzione e riduzione del gioco patologico, l’attivazione della rete di sostegno e la conoscenza generale della normativa vigente in materia di gioco lecito. Si tratta di un percorso formativo le cui caratteristiche sono specificatamente normate a livello regionale, rivolto a coloro che gestiscono i centri di scommesse e di spazi per il gioco con vincita in denaro ed al personale operante nei sopra citati centri scommesse e spazi per il gioco.</w:t>
            </w:r>
          </w:p>
        </w:tc>
      </w:tr>
      <w:tr w:rsidR="00F843FC" w14:paraId="59B48EDE" w14:textId="77777777" w:rsidTr="00F843FC">
        <w:tc>
          <w:tcPr>
            <w:tcW w:w="1696" w:type="dxa"/>
          </w:tcPr>
          <w:p w14:paraId="7FD9AFAB" w14:textId="7C07C5D5" w:rsidR="00F843FC" w:rsidRDefault="009B1141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Destinatari </w:t>
            </w:r>
          </w:p>
        </w:tc>
        <w:tc>
          <w:tcPr>
            <w:tcW w:w="8124" w:type="dxa"/>
          </w:tcPr>
          <w:p w14:paraId="7661BC10" w14:textId="484146C1" w:rsidR="009B1141" w:rsidRPr="009B1141" w:rsidRDefault="009B1141" w:rsidP="009B1141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B1141">
              <w:rPr>
                <w:rFonts w:ascii="Arial" w:hAnsi="Arial" w:cs="Arial"/>
              </w:rPr>
              <w:t xml:space="preserve"> gestor</w:t>
            </w:r>
            <w:r>
              <w:rPr>
                <w:rFonts w:ascii="Arial" w:hAnsi="Arial" w:cs="Arial"/>
              </w:rPr>
              <w:t>i</w:t>
            </w:r>
            <w:r w:rsidRPr="009B1141">
              <w:rPr>
                <w:rFonts w:ascii="Arial" w:hAnsi="Arial" w:cs="Arial"/>
              </w:rPr>
              <w:t xml:space="preserve"> e il personale dei centri scommesse e spazi gioco con vincita in denaro per via esclusiva, e il gestore e il coadiutore (o assistente o dipendente) dei locali dedicati al gioco in via non esclusiva (tabaccherie, pubblici esercizi, ecc.).</w:t>
            </w:r>
          </w:p>
          <w:p w14:paraId="5D351D5E" w14:textId="642F99DF" w:rsidR="00F843FC" w:rsidRDefault="00F843FC" w:rsidP="009B1141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F843FC" w14:paraId="2622D00C" w14:textId="77777777" w:rsidTr="00F843FC">
        <w:tc>
          <w:tcPr>
            <w:tcW w:w="1696" w:type="dxa"/>
          </w:tcPr>
          <w:p w14:paraId="6EF34B16" w14:textId="1ADC50A7" w:rsidR="00F843FC" w:rsidRDefault="009B1141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Requisiti richiesti</w:t>
            </w:r>
          </w:p>
          <w:p w14:paraId="0BAFAEB6" w14:textId="77777777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  <w:p w14:paraId="6FB0001E" w14:textId="77777777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4" w:type="dxa"/>
          </w:tcPr>
          <w:p w14:paraId="112EFD98" w14:textId="732C2AAF" w:rsidR="009B1141" w:rsidRPr="009B1141" w:rsidRDefault="009B1141" w:rsidP="009B1141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B1141">
              <w:rPr>
                <w:rFonts w:ascii="Arial" w:hAnsi="Arial" w:cs="Arial"/>
              </w:rPr>
              <w:t>aggiore età ovvero età inferiore purché in possesso di Qualifica professionale conseguita ai sensi del Decreto Legislativo 17 ottobre 2005 n. 226.</w:t>
            </w:r>
          </w:p>
          <w:p w14:paraId="52C3742E" w14:textId="77777777" w:rsidR="009B1141" w:rsidRPr="009B1141" w:rsidRDefault="009B1141" w:rsidP="009B1141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  <w:p w14:paraId="4E01623E" w14:textId="2F4CD8E3" w:rsidR="00F843FC" w:rsidRDefault="009B1141" w:rsidP="009B1141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 w:rsidRPr="009B1141">
              <w:rPr>
                <w:rFonts w:ascii="Arial" w:hAnsi="Arial" w:cs="Arial"/>
              </w:rPr>
              <w:t>I cittadini stranieri devono dimostrare di possedere anche una buona conoscenza della lingua italiana orale e scritta, che consenta la partecipazione attiva al percorso formativo. Tale conoscenza sarà verificata per gli stranieri tramite un test di ingresso. I corsi di formazione hanno durata complessiva di 8 ore.</w:t>
            </w:r>
          </w:p>
        </w:tc>
      </w:tr>
      <w:tr w:rsidR="00F843FC" w14:paraId="13C26A2D" w14:textId="77777777" w:rsidTr="00F843FC">
        <w:tc>
          <w:tcPr>
            <w:tcW w:w="1696" w:type="dxa"/>
          </w:tcPr>
          <w:p w14:paraId="78483C09" w14:textId="19DA4DD8" w:rsidR="00F843FC" w:rsidRDefault="00297A9D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Scadenza iscrizioni: </w:t>
            </w:r>
          </w:p>
          <w:p w14:paraId="797BE7F5" w14:textId="77777777" w:rsidR="00F843FC" w:rsidRDefault="00F843F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4" w:type="dxa"/>
          </w:tcPr>
          <w:p w14:paraId="2ABAE21F" w14:textId="77777777" w:rsidR="00A010CC" w:rsidRDefault="00A010CC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</w:p>
          <w:p w14:paraId="217EAD13" w14:textId="1EFB5364" w:rsidR="00F843FC" w:rsidRDefault="00297A9D" w:rsidP="00D61F8D">
            <w:pPr>
              <w:tabs>
                <w:tab w:val="center" w:pos="7938"/>
              </w:tabs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09/07/2024</w:t>
            </w:r>
          </w:p>
        </w:tc>
      </w:tr>
    </w:tbl>
    <w:p w14:paraId="79F046F2" w14:textId="77777777" w:rsidR="00F843FC" w:rsidRDefault="00F843FC" w:rsidP="00D61F8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p w14:paraId="6C42DC51" w14:textId="77777777" w:rsidR="00F843FC" w:rsidRDefault="00F843FC" w:rsidP="00D61F8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sectPr w:rsidR="00F843FC" w:rsidSect="006003C3">
      <w:headerReference w:type="default" r:id="rId8"/>
      <w:pgSz w:w="11910" w:h="16840"/>
      <w:pgMar w:top="1560" w:right="106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ECA9E" w14:textId="77777777" w:rsidR="0008277C" w:rsidRDefault="0008277C">
      <w:r>
        <w:separator/>
      </w:r>
    </w:p>
  </w:endnote>
  <w:endnote w:type="continuationSeparator" w:id="0">
    <w:p w14:paraId="242023A1" w14:textId="77777777" w:rsidR="0008277C" w:rsidRDefault="000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C793" w14:textId="77777777" w:rsidR="0008277C" w:rsidRDefault="0008277C">
      <w:r>
        <w:separator/>
      </w:r>
    </w:p>
  </w:footnote>
  <w:footnote w:type="continuationSeparator" w:id="0">
    <w:p w14:paraId="205369FD" w14:textId="77777777" w:rsidR="0008277C" w:rsidRDefault="0008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86C2" w14:textId="55D407A7" w:rsidR="00E1463F" w:rsidRPr="00E1463F" w:rsidRDefault="003375A0" w:rsidP="009B1141">
    <w:pPr>
      <w:pStyle w:val="Intestazione"/>
      <w:jc w:val="center"/>
    </w:pPr>
    <w:r>
      <w:rPr>
        <w:noProof/>
      </w:rPr>
      <w:drawing>
        <wp:inline distT="0" distB="0" distL="0" distR="0" wp14:anchorId="0FACF3BC" wp14:editId="25504655">
          <wp:extent cx="2389728" cy="812800"/>
          <wp:effectExtent l="0" t="0" r="0" b="6350"/>
          <wp:docPr id="1266463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682" cy="81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16360"/>
    <w:multiLevelType w:val="hybridMultilevel"/>
    <w:tmpl w:val="590CB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556A"/>
    <w:multiLevelType w:val="hybridMultilevel"/>
    <w:tmpl w:val="FA90F7D4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323C76CC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682"/>
    <w:multiLevelType w:val="hybridMultilevel"/>
    <w:tmpl w:val="7A0C7B10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B64"/>
    <w:multiLevelType w:val="hybridMultilevel"/>
    <w:tmpl w:val="626AF1BC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5853"/>
    <w:multiLevelType w:val="hybridMultilevel"/>
    <w:tmpl w:val="674400DC"/>
    <w:lvl w:ilvl="0" w:tplc="60FE46B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CC6F20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05E9EB4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3" w:tplc="F5B6ECDC">
      <w:numFmt w:val="bullet"/>
      <w:lvlText w:val="•"/>
      <w:lvlJc w:val="left"/>
      <w:pPr>
        <w:ind w:left="3396" w:hanging="360"/>
      </w:pPr>
      <w:rPr>
        <w:rFonts w:hint="default"/>
        <w:lang w:val="it-IT" w:eastAsia="it-IT" w:bidi="it-IT"/>
      </w:rPr>
    </w:lvl>
    <w:lvl w:ilvl="4" w:tplc="52FA9F82">
      <w:numFmt w:val="bullet"/>
      <w:lvlText w:val="•"/>
      <w:lvlJc w:val="left"/>
      <w:pPr>
        <w:ind w:left="4314" w:hanging="360"/>
      </w:pPr>
      <w:rPr>
        <w:rFonts w:hint="default"/>
        <w:lang w:val="it-IT" w:eastAsia="it-IT" w:bidi="it-IT"/>
      </w:rPr>
    </w:lvl>
    <w:lvl w:ilvl="5" w:tplc="BB984974">
      <w:numFmt w:val="bullet"/>
      <w:lvlText w:val="•"/>
      <w:lvlJc w:val="left"/>
      <w:pPr>
        <w:ind w:left="5232" w:hanging="360"/>
      </w:pPr>
      <w:rPr>
        <w:rFonts w:hint="default"/>
        <w:lang w:val="it-IT" w:eastAsia="it-IT" w:bidi="it-IT"/>
      </w:rPr>
    </w:lvl>
    <w:lvl w:ilvl="6" w:tplc="3920FB6A">
      <w:numFmt w:val="bullet"/>
      <w:lvlText w:val="•"/>
      <w:lvlJc w:val="left"/>
      <w:pPr>
        <w:ind w:left="6151" w:hanging="360"/>
      </w:pPr>
      <w:rPr>
        <w:rFonts w:hint="default"/>
        <w:lang w:val="it-IT" w:eastAsia="it-IT" w:bidi="it-IT"/>
      </w:rPr>
    </w:lvl>
    <w:lvl w:ilvl="7" w:tplc="9D2C22D2">
      <w:numFmt w:val="bullet"/>
      <w:lvlText w:val="•"/>
      <w:lvlJc w:val="left"/>
      <w:pPr>
        <w:ind w:left="7069" w:hanging="360"/>
      </w:pPr>
      <w:rPr>
        <w:rFonts w:hint="default"/>
        <w:lang w:val="it-IT" w:eastAsia="it-IT" w:bidi="it-IT"/>
      </w:rPr>
    </w:lvl>
    <w:lvl w:ilvl="8" w:tplc="3CD2AB16">
      <w:numFmt w:val="bullet"/>
      <w:lvlText w:val="•"/>
      <w:lvlJc w:val="left"/>
      <w:pPr>
        <w:ind w:left="7987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47C7FA2"/>
    <w:multiLevelType w:val="hybridMultilevel"/>
    <w:tmpl w:val="A172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0923">
    <w:abstractNumId w:val="4"/>
  </w:num>
  <w:num w:numId="2" w16cid:durableId="276957668">
    <w:abstractNumId w:val="5"/>
  </w:num>
  <w:num w:numId="3" w16cid:durableId="72314507">
    <w:abstractNumId w:val="1"/>
  </w:num>
  <w:num w:numId="4" w16cid:durableId="1473597694">
    <w:abstractNumId w:val="3"/>
  </w:num>
  <w:num w:numId="5" w16cid:durableId="659188896">
    <w:abstractNumId w:val="0"/>
  </w:num>
  <w:num w:numId="6" w16cid:durableId="13299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0A"/>
    <w:rsid w:val="00064137"/>
    <w:rsid w:val="0008277C"/>
    <w:rsid w:val="000E49C1"/>
    <w:rsid w:val="0021375C"/>
    <w:rsid w:val="00277732"/>
    <w:rsid w:val="00297A9D"/>
    <w:rsid w:val="002B69BC"/>
    <w:rsid w:val="002F2DAD"/>
    <w:rsid w:val="002F5129"/>
    <w:rsid w:val="003266D5"/>
    <w:rsid w:val="003375A0"/>
    <w:rsid w:val="00442A93"/>
    <w:rsid w:val="00442E0A"/>
    <w:rsid w:val="00447BFB"/>
    <w:rsid w:val="005163FE"/>
    <w:rsid w:val="005E1317"/>
    <w:rsid w:val="006003C3"/>
    <w:rsid w:val="00611594"/>
    <w:rsid w:val="006B228F"/>
    <w:rsid w:val="006B3DFB"/>
    <w:rsid w:val="006C7AC4"/>
    <w:rsid w:val="006F560A"/>
    <w:rsid w:val="00756C5C"/>
    <w:rsid w:val="00771BD0"/>
    <w:rsid w:val="007E5356"/>
    <w:rsid w:val="00815234"/>
    <w:rsid w:val="0086670E"/>
    <w:rsid w:val="008D5390"/>
    <w:rsid w:val="00946C16"/>
    <w:rsid w:val="009633C6"/>
    <w:rsid w:val="00985976"/>
    <w:rsid w:val="009B1141"/>
    <w:rsid w:val="00A010CC"/>
    <w:rsid w:val="00A31ED1"/>
    <w:rsid w:val="00A55000"/>
    <w:rsid w:val="00A57CEE"/>
    <w:rsid w:val="00A6147B"/>
    <w:rsid w:val="00AD30E2"/>
    <w:rsid w:val="00C0577B"/>
    <w:rsid w:val="00D11A88"/>
    <w:rsid w:val="00D61F8D"/>
    <w:rsid w:val="00DB5481"/>
    <w:rsid w:val="00E1463F"/>
    <w:rsid w:val="00EE0837"/>
    <w:rsid w:val="00EF0221"/>
    <w:rsid w:val="00F843FC"/>
    <w:rsid w:val="00FB6FD8"/>
    <w:rsid w:val="00FD5FA4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A535F"/>
  <w15:docId w15:val="{76412C8A-C6F0-4978-A859-0EE44EC5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7"/>
      <w:ind w:left="112" w:right="91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0" w:hanging="3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"/>
      <w:ind w:left="155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3C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0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3C3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442A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8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1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BA8B-E924-435C-8656-A9123E9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Barilà</dc:creator>
  <cp:lastModifiedBy>Michela Valenti</cp:lastModifiedBy>
  <cp:revision>4</cp:revision>
  <cp:lastPrinted>2024-06-19T10:23:00Z</cp:lastPrinted>
  <dcterms:created xsi:type="dcterms:W3CDTF">2024-06-19T09:58:00Z</dcterms:created>
  <dcterms:modified xsi:type="dcterms:W3CDTF">2024-06-19T10:24:00Z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2021-02-15T00:00:00Z</vt:filetime>
  </property>
</Properties>
</file>